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9" w:rsidRPr="00BB0FB9" w:rsidRDefault="00BB0FB9" w:rsidP="00BB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B9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BB0FB9" w:rsidRPr="00BB0FB9" w:rsidRDefault="00BB0FB9" w:rsidP="00BB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B9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BB0FB9" w:rsidRPr="00BB0FB9" w:rsidRDefault="00BB0FB9" w:rsidP="00BB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B9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BB0FB9" w:rsidRPr="00BB0FB9" w:rsidRDefault="00BB0FB9" w:rsidP="00BB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B9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BB0FB9" w:rsidRPr="00BB0FB9" w:rsidRDefault="00BB0FB9" w:rsidP="00BB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B9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p w:rsidR="00BB0FB9" w:rsidRPr="00BB0FB9" w:rsidRDefault="00BB0FB9" w:rsidP="00BB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4A0"/>
      </w:tblPr>
      <w:tblGrid>
        <w:gridCol w:w="9463"/>
      </w:tblGrid>
      <w:tr w:rsidR="00BB0FB9" w:rsidRPr="00BB0FB9" w:rsidTr="00280EA8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B0FB9" w:rsidRPr="00BB0FB9" w:rsidRDefault="00BB0FB9" w:rsidP="00BB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FB9" w:rsidRDefault="00BB0FB9" w:rsidP="00BB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FB9" w:rsidRPr="00BB0FB9" w:rsidRDefault="00BB0FB9" w:rsidP="00BB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ED7" w:rsidRDefault="00847ED7" w:rsidP="00BB0FB9">
      <w:pPr>
        <w:spacing w:after="0" w:line="24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 налога на имущество физических  лиц  на территории муниципального образования «Садовское сельское поселение» на 2018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ED7" w:rsidRDefault="00847ED7" w:rsidP="00847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  законом от 6 октября 2003 года № 131-ФЗ «Об общих принципах организации местного  самоуправления в Российской Федерации,  Законом Республики Адыгея от 03 ноября  2016  года № 5 «Об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«Садовское сельское поселение» Красногвардейского района Республики Адыгея,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МО «Садовское сельское поселение»</w:t>
      </w:r>
    </w:p>
    <w:p w:rsidR="00847ED7" w:rsidRDefault="00847ED7" w:rsidP="00BB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847ED7" w:rsidRDefault="00847ED7" w:rsidP="00BB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  и ввести в действие с 1 января 2018 года на территории муниципального образования  «Садовское сельское поселение» Красногвардейского района Республики Адыгея (далее муниципальное образование  «Садовское сельское поселение») налог на имущество физических лиц (далее налог).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 Российской Федерации  и разделом 2 настоящего решения.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Объектами налогообложения является расположенное в пределах муниципального образования «Садовское сельское поселение» следующее имущество: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жилое помещение  (квартира, комната);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место;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иное здание, строение, сооружение, помещение.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Жилые строения, расположенные на земельных участках, предоставленные для ведения личного подсобного хозяйства, дачного строительства, огородничества, садоводства, индивидуального жилищного строительства, относятся к жилым домам.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объектов налогообложения определяется исходя из кадастровой стоимости  объекта налогообложения.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Налоговая база определяется в отношении каждого объекта налогообложения как его кадастровая стоимость, указанная в </w:t>
      </w:r>
      <w:r w:rsidR="000A1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Налоговая база в отношении комнаты определяется как ее кадастровая стоимость, уменьшенная на величину кадастровой стоимости 10 квадратных метров общей площади этой квартиры.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Налоговая база в отношении жилого дома 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Налоговая база в отношении единого жилого комплекса, в состав которого входит хотя бы одно жилое помещение (жилой дом),  определяется как его кадастровая стоимость, уменьшенная на один миллион рублей.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если  при  применении  налоговых вычетов, предусмотренных  пунктами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– 4.4. настоящего раздела, налоговая база принимает отрицательное значение, в целях  исчисления налога такая налоговая база принимается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нулю.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Налоговым   периодом признается  календарный год.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  территории муниципального образования «Садовское сельское поселение»  устанавливается следующие ставки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имущество физических лиц  исходя из кадастровой стоимости  объекта налогообложения:</w:t>
      </w:r>
    </w:p>
    <w:tbl>
      <w:tblPr>
        <w:tblW w:w="0" w:type="auto"/>
        <w:tblCellSpacing w:w="15" w:type="dxa"/>
        <w:tblLook w:val="04A0"/>
      </w:tblPr>
      <w:tblGrid>
        <w:gridCol w:w="7209"/>
        <w:gridCol w:w="2236"/>
      </w:tblGrid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 на имущество физических лиц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Дома, указанные в главе 32 Налогового кодекса Российской Федерации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Квартиры  и комнаты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незавершенного строительства  в  случае, если проектируемым назначением таких объектов является жилой дом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Единые жилые комплексы, в состав которых  входит хотя бы одно жилое помещение (жилой дом)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Гаражи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Хозяйственные  строения или сооружения, площадь  каждого из которых не превышает  50 квадратных метров и которые расположены на земельных участках, предоставленных для ведения личного подсобного хозяйства, дачного  хозяйства, огородничества, садоводства или     индивидуального жилищного строительства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Объекты  налогообложения, включенные в перечень, определяемый   в  соответствии  с пунктом 7 статьи 378.2 Налогового кодекса Российской Федерации, в отношении объектов налогообложения, предусмотренных абзацем вторым пункта 10 статьи  378.2 Налогового кодекса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а также в отношении объектов налогообложения, кадастровая  стоимость каждого из  которых превышает 300 миллионов рублей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Прочие объекты налогообложения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7ED7" w:rsidRDefault="00847E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847ED7" w:rsidRDefault="00847ED7" w:rsidP="00847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Установить, что для граждан, имеющих в собственности имущество, являющееся объектом налогообложения на территории муниципального образования «Садовское сельское поселение»,  льготы, установленные в соответствии со статьей 407 Налогового кодекса Российской Федерации, действуют в полном объеме.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Сумма налога исчисляется 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Налог подлежит уплате налогоплательщиками в срок не позднее 1 декабря года, следующего за истекшим налоговым периодом.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Налог уплачивается по месту нахождения объекта недвижимости на основании налогового уведомления, направляемого налогоплательщику налоговым   органом.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47ED7" w:rsidRDefault="00847ED7" w:rsidP="0084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Признать утратившим силу решение Совета депутатов муниципального образования «Садовское с</w:t>
      </w:r>
      <w:r w:rsidR="00003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поселение» от 14.11.2016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15.</w:t>
      </w:r>
    </w:p>
    <w:p w:rsidR="00745FED" w:rsidRPr="00745FED" w:rsidRDefault="00847ED7" w:rsidP="0074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745FED" w:rsidRPr="00745FED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решение на официальном сайте администрации МО «Садовское сельское поселение» </w:t>
      </w:r>
      <w:r w:rsidR="00745FED" w:rsidRPr="00745FED">
        <w:rPr>
          <w:rFonts w:ascii="Times New Roman CYR" w:hAnsi="Times New Roman CYR" w:cs="Times New Roman CYR"/>
          <w:color w:val="4F81BD" w:themeColor="accent1"/>
          <w:sz w:val="28"/>
          <w:szCs w:val="28"/>
          <w:lang w:val="en-US"/>
        </w:rPr>
        <w:t>http</w:t>
      </w:r>
      <w:r w:rsidR="00745FED" w:rsidRPr="00745FED">
        <w:rPr>
          <w:rFonts w:ascii="Times New Roman CYR" w:hAnsi="Times New Roman CYR" w:cs="Times New Roman CYR"/>
          <w:color w:val="4F81BD" w:themeColor="accent1"/>
          <w:sz w:val="28"/>
          <w:szCs w:val="28"/>
        </w:rPr>
        <w:t>//</w:t>
      </w:r>
      <w:proofErr w:type="spellStart"/>
      <w:r w:rsidR="00745FED" w:rsidRPr="00745FED">
        <w:rPr>
          <w:rFonts w:ascii="Times New Roman CYR" w:hAnsi="Times New Roman CYR" w:cs="Times New Roman CYR"/>
          <w:color w:val="4F81BD" w:themeColor="accent1"/>
          <w:sz w:val="28"/>
          <w:szCs w:val="28"/>
          <w:lang w:val="en-US"/>
        </w:rPr>
        <w:t>sadovskoe</w:t>
      </w:r>
      <w:proofErr w:type="spellEnd"/>
      <w:r w:rsidR="00745FED" w:rsidRPr="00745FED">
        <w:rPr>
          <w:rFonts w:ascii="Times New Roman CYR" w:hAnsi="Times New Roman CYR" w:cs="Times New Roman CYR"/>
          <w:color w:val="4F81BD" w:themeColor="accent1"/>
          <w:sz w:val="28"/>
          <w:szCs w:val="28"/>
        </w:rPr>
        <w:t>/</w:t>
      </w:r>
      <w:proofErr w:type="spellStart"/>
      <w:r w:rsidR="00745FED" w:rsidRPr="00745FED">
        <w:rPr>
          <w:rFonts w:ascii="Times New Roman CYR" w:hAnsi="Times New Roman CYR" w:cs="Times New Roman CYR"/>
          <w:color w:val="4F81BD" w:themeColor="accent1"/>
          <w:sz w:val="28"/>
          <w:szCs w:val="28"/>
          <w:lang w:val="en-US"/>
        </w:rPr>
        <w:t>ru</w:t>
      </w:r>
      <w:proofErr w:type="spellEnd"/>
      <w:r w:rsidR="00745FED" w:rsidRPr="00745FED">
        <w:rPr>
          <w:rFonts w:ascii="Times New Roman CYR" w:hAnsi="Times New Roman CYR" w:cs="Times New Roman CYR"/>
          <w:color w:val="4F81BD" w:themeColor="accent1"/>
          <w:sz w:val="28"/>
          <w:szCs w:val="28"/>
        </w:rPr>
        <w:t xml:space="preserve">. </w:t>
      </w:r>
      <w:r w:rsidR="00745FED" w:rsidRPr="00745FED">
        <w:rPr>
          <w:rFonts w:ascii="Times New Roman CYR" w:hAnsi="Times New Roman CYR" w:cs="Times New Roman CYR"/>
          <w:sz w:val="28"/>
          <w:szCs w:val="28"/>
        </w:rPr>
        <w:t xml:space="preserve"> и опубликовать в периодическом печатном издании «Вестник Садовского сельского поселения».</w:t>
      </w:r>
    </w:p>
    <w:p w:rsidR="00847ED7" w:rsidRDefault="00847ED7" w:rsidP="0074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Настоящее решение вступает в силу с 1 января 2018 года, но не ранее, чем по истечении одного месяца со дня его официального опубликования.</w:t>
      </w:r>
    </w:p>
    <w:p w:rsidR="00745FED" w:rsidRDefault="00745FED" w:rsidP="00847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ED" w:rsidRDefault="00745FED" w:rsidP="00847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ED" w:rsidRDefault="00745FED" w:rsidP="00847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ED7" w:rsidRDefault="00847ED7" w:rsidP="00847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47ED7" w:rsidRDefault="00847ED7" w:rsidP="00847ED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«Садовское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В.Н.Бондаренко</w:t>
      </w:r>
    </w:p>
    <w:p w:rsidR="00745FED" w:rsidRDefault="00745FED" w:rsidP="00847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FED" w:rsidRDefault="00745FED" w:rsidP="00847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ED7" w:rsidRPr="00BC2906" w:rsidRDefault="00847ED7" w:rsidP="0084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с. Садовое</w:t>
      </w:r>
    </w:p>
    <w:p w:rsidR="00847ED7" w:rsidRPr="00BC2906" w:rsidRDefault="00847ED7" w:rsidP="0084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 xml:space="preserve">от </w:t>
      </w:r>
      <w:r w:rsidR="00BC2906" w:rsidRPr="00BC2906">
        <w:rPr>
          <w:rFonts w:ascii="Times New Roman" w:hAnsi="Times New Roman" w:cs="Times New Roman"/>
          <w:sz w:val="24"/>
          <w:szCs w:val="24"/>
        </w:rPr>
        <w:t>14.11.2017 года № 45</w:t>
      </w:r>
    </w:p>
    <w:p w:rsidR="00847ED7" w:rsidRDefault="00847ED7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ED" w:rsidRDefault="00745FED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ED" w:rsidRDefault="00745FED" w:rsidP="0084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ED7" w:rsidRDefault="00847ED7" w:rsidP="00BC2906">
      <w:pPr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Приложение к решению </w:t>
      </w:r>
    </w:p>
    <w:p w:rsidR="00847ED7" w:rsidRDefault="00847ED7" w:rsidP="00BC2906">
      <w:pPr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Совета народных депутатов</w:t>
      </w:r>
    </w:p>
    <w:p w:rsidR="00847ED7" w:rsidRDefault="00847ED7" w:rsidP="00BC2906">
      <w:pPr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муниципального образования</w:t>
      </w:r>
    </w:p>
    <w:p w:rsidR="00847ED7" w:rsidRDefault="00847ED7" w:rsidP="00BC2906">
      <w:pPr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«Садовское сельское поселение»</w:t>
      </w:r>
    </w:p>
    <w:p w:rsidR="00847ED7" w:rsidRDefault="00745FED" w:rsidP="00BC2906">
      <w:pPr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от 14.11.2017 г. № 45</w:t>
      </w:r>
    </w:p>
    <w:p w:rsidR="00847ED7" w:rsidRDefault="00847ED7" w:rsidP="00847ED7">
      <w:pPr>
        <w:shd w:val="clear" w:color="auto" w:fill="FFFFFF"/>
        <w:spacing w:after="0"/>
        <w:ind w:right="40" w:firstLine="709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847ED7" w:rsidRDefault="00847ED7" w:rsidP="00847ED7">
      <w:pPr>
        <w:shd w:val="clear" w:color="auto" w:fill="FFFFFF"/>
        <w:spacing w:after="0"/>
        <w:ind w:right="40" w:firstLine="709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847ED7" w:rsidRDefault="00847ED7" w:rsidP="00BC2906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ПОЛОЖЕНИЕ</w:t>
      </w:r>
    </w:p>
    <w:p w:rsidR="00847ED7" w:rsidRDefault="00847ED7" w:rsidP="00BC290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 налоге на имущество физических лиц на территории муниципального образования «Садовское сельское поселение»</w:t>
      </w:r>
    </w:p>
    <w:p w:rsidR="00847ED7" w:rsidRDefault="00847ED7" w:rsidP="00847ED7">
      <w:pPr>
        <w:shd w:val="clear" w:color="auto" w:fill="FFFFFF"/>
        <w:spacing w:after="0"/>
        <w:ind w:right="4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ED7" w:rsidRPr="00BC2906" w:rsidRDefault="00847ED7" w:rsidP="00BC2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Настоящее Положение разработано в соответствии с требованиями главы 32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Налогового кодекса Российской Федерации,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Федерального закона от 06.10.2003 № 131-ФЗ «Об общих принципах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организации местного самоуправления в Российской Федерации»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регулирует отношения по установлению, введению и взиманию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налога на имущество физических лиц на территории муниципального образования «Садовское сельское поселение».</w:t>
      </w:r>
    </w:p>
    <w:p w:rsidR="00847ED7" w:rsidRDefault="00847ED7" w:rsidP="00BC29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 Плательщиками налога на имущество физических лиц (далее - налог)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признаются   физические  лица   -   собственники   имущества,   признаваемого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объектом налогообложения.</w:t>
      </w:r>
    </w:p>
    <w:p w:rsidR="00847ED7" w:rsidRDefault="00847ED7" w:rsidP="00BC29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 Если имущество, признаваемое объектом налогообложения, находится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общей долевой собственности нескольких физических лиц,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налогоплательщиком в отношении этого имущества признается каждое из этих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 лиц соразмерно его доле в этом имуществе. В аналогичном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определяются налогоплательщики, если такое имущество находится в общей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долевой собственности физических лиц и предприятий (организаций).</w:t>
      </w:r>
    </w:p>
    <w:p w:rsidR="00847ED7" w:rsidRDefault="00847ED7" w:rsidP="00BC29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 Если имущество, признаваемое объектом налогообложения, находится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 общей совместной собственности нескольких физических лиц, они несут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равную ответственность по исполнению налогового обязательства. При этом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плательщиком  налога  может  быть  одно  из  этих  лиц,   определяемое  по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соглашению между ними.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left="540" w:firstLine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Объектами налогообложения признаются следующие виды имущества: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жилой дом;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место;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решения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847ED7" w:rsidRDefault="00847ED7" w:rsidP="00BC29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Ставки налога на строения, помещения и сооружения устанавливаются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Совета народных депутатов исходя из кадастровой стоимости объекта налогообложения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территории муниципального образования «Садовское сельское поселение»  устанавливается следующие ставки налога на  имущество физических лиц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tbl>
      <w:tblPr>
        <w:tblW w:w="0" w:type="auto"/>
        <w:tblCellSpacing w:w="15" w:type="dxa"/>
        <w:tblLook w:val="04A0"/>
      </w:tblPr>
      <w:tblGrid>
        <w:gridCol w:w="7224"/>
        <w:gridCol w:w="2221"/>
      </w:tblGrid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на имущество физических лиц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Дома, указанные в главе 32 Налогового кодекса Российской Федерации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Квартиры  и комнаты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Объекты незавершенного строительства  в  случае, если проектируемым назначением таких объектов является жилой дом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Единые жилые комплексы, в состав которых  входит хотя бы одно жилое помещение (жилой дом)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Гаражи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Хозяйственные  строения или сооружения, площадь  каждого из которых не превышает  50 квадратных метров и которые расположены на земельных участках, предоставленных для ведения личного подсобного хозяйства, дачного  хозяйства, огородничества, садоводства или     индивидуального жилищного строительства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Объекты  налогообложения, включенные в перечень, определяемый   в  соответствии  с пунктом 7 статьи 378.2 Налогового кодекса Российской Федерации, в отношении объектов налогообложения, предусмотренных абзацем вторым пункта 10 статьи  378.2 Налогового кодекса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а также в отношении объектов налогообложения, кадастровая  стоимость каждого из  которых превышает 300 миллионов рублей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47ED7" w:rsidTr="00847ED7">
        <w:trPr>
          <w:tblCellSpacing w:w="15" w:type="dxa"/>
        </w:trPr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Прочие объекты налогообложения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D7" w:rsidRDefault="00847ED7" w:rsidP="00B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ED7" w:rsidRDefault="00847ED7" w:rsidP="00BC29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847ED7" w:rsidRDefault="00847ED7" w:rsidP="00BC29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D7" w:rsidRDefault="00847ED7" w:rsidP="00BC29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Налог зачисляется в бюджет  Садовского сельского поселения.</w:t>
      </w:r>
    </w:p>
    <w:p w:rsidR="00847ED7" w:rsidRDefault="00847ED7" w:rsidP="00BC2906">
      <w:pPr>
        <w:shd w:val="clear" w:color="auto" w:fill="FFFFFF"/>
        <w:tabs>
          <w:tab w:val="left" w:pos="1166"/>
        </w:tabs>
        <w:spacing w:after="0" w:line="240" w:lineRule="auto"/>
        <w:ind w:left="1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основании ст. 407 Налогового Кодекса Российской Федерации о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т уплаты налога на имущество физических лиц освобождаются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 категории граждан: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инвалиды I и II групп инвалидности;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инвалиды с детства;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частей действующей армии;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" и Федеральным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члены семей военнослужащих, потерявших кормильца;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квартира или комната;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жилой дом;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помещение или сооружение, указанные в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подпункте 14 пункта </w:t>
        </w:r>
      </w:hyperlink>
      <w:r>
        <w:rPr>
          <w:rFonts w:ascii="Times New Roman" w:hAnsi="Times New Roman" w:cs="Times New Roman"/>
          <w:sz w:val="24"/>
          <w:szCs w:val="24"/>
        </w:rPr>
        <w:t>7 настоящего решения;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хозяйственное строение или сооружение, указанные в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подпункте 15 пункта </w:t>
        </w:r>
      </w:hyperlink>
      <w:r>
        <w:rPr>
          <w:rFonts w:ascii="Times New Roman" w:hAnsi="Times New Roman" w:cs="Times New Roman"/>
          <w:sz w:val="24"/>
          <w:szCs w:val="24"/>
        </w:rPr>
        <w:t>7 настоящего решения;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гараж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 пункта 2 статьи 406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47ED7" w:rsidRDefault="00847ED7" w:rsidP="00BC2906">
      <w:pPr>
        <w:shd w:val="clear" w:color="auto" w:fill="FFFFFF"/>
        <w:tabs>
          <w:tab w:val="left" w:pos="1186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Совет народных депутатов имеет право устанавливать налоговые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льготы по налогу, установленному настоящим Разделом, и основания для их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использования налогоплательщиками.</w:t>
      </w:r>
    </w:p>
    <w:p w:rsidR="00847ED7" w:rsidRDefault="00847ED7" w:rsidP="00BC2906">
      <w:pPr>
        <w:shd w:val="clear" w:color="auto" w:fill="FFFFFF"/>
        <w:tabs>
          <w:tab w:val="left" w:pos="1186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  получения   льгот   лицам   указанных   категорий,   необходимо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предоставить в налоговые органы документы, подтверждающие наличие права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предоставление льготы.</w:t>
      </w:r>
    </w:p>
    <w:p w:rsidR="00847ED7" w:rsidRDefault="00847ED7" w:rsidP="00BC290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11. Исчисление налога производится налоговыми органами.</w:t>
      </w:r>
    </w:p>
    <w:p w:rsidR="00847ED7" w:rsidRDefault="00847ED7" w:rsidP="00BC2906">
      <w:pPr>
        <w:shd w:val="clear" w:color="auto" w:fill="FFFFFF"/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Лица, имеющие право на льготы, указанные в пунктах 7-9 настоящего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Положения, самостоятельно представляют необходимые документы в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налоговые органы.</w:t>
      </w:r>
    </w:p>
    <w:p w:rsidR="00847ED7" w:rsidRDefault="00847ED7" w:rsidP="00BC2906">
      <w:pPr>
        <w:shd w:val="clear" w:color="auto" w:fill="FFFFFF"/>
        <w:tabs>
          <w:tab w:val="left" w:pos="1339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Налог  на  строения,   помещения   и   сооружения   исчисляется  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основании данных об их инвентаризационной стоимости по состоянию на 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  <w:t>января  каждого  года  органами,  осуществляющими  регистрацию  прав  на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недвижимое  имущество  и  сделок  с  ним.</w:t>
      </w:r>
    </w:p>
    <w:p w:rsidR="00847ED7" w:rsidRDefault="00847ED7" w:rsidP="00BC2906">
      <w:pPr>
        <w:shd w:val="clear" w:color="auto" w:fill="FFFFFF"/>
        <w:spacing w:after="0" w:line="240" w:lineRule="auto"/>
        <w:ind w:left="14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строения, помещения и сооружения, находящиеся в общей долевой собственности нескольких собственников, налог уплачивается каждым из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собственников соразмерно их доле в этих строениях, помещениях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сооружениях.</w:t>
      </w:r>
    </w:p>
    <w:p w:rsidR="00847ED7" w:rsidRDefault="00847ED7" w:rsidP="00BC290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строения, помещения и сооружения, находящиеся в общей совместной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собственности нескольких собственников без определения долей, налог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уплачивается одним из указанных собственников по соглашению между ними.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 несогласованности налог уплачивается каждым из собственников в равных долях.</w:t>
      </w:r>
    </w:p>
    <w:p w:rsidR="00847ED7" w:rsidRDefault="00847ED7" w:rsidP="00BC2906">
      <w:pPr>
        <w:shd w:val="clear" w:color="auto" w:fill="FFFFFF"/>
        <w:tabs>
          <w:tab w:val="left" w:pos="1339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рганам,    осуществляющим   регистрацию    прав    на   недвижимое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имущество и сделок с ним, и органов, осуществляющих государственный технический учет,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ежегодно до  1  марта представлять в налоговый орган сведения,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 для исчисления налогов, по состоянию на 1 января текущего года.</w:t>
      </w:r>
    </w:p>
    <w:p w:rsidR="00847ED7" w:rsidRDefault="00847ED7" w:rsidP="00BC2906">
      <w:pPr>
        <w:shd w:val="clear" w:color="auto" w:fill="FFFFFF"/>
        <w:spacing w:after="0" w:line="240" w:lineRule="auto"/>
        <w:ind w:left="1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Данные, необходимые для исчисления налоговых платежей,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представляются налоговым органам бесплатно.</w:t>
      </w:r>
    </w:p>
    <w:p w:rsidR="00847ED7" w:rsidRDefault="00847ED7" w:rsidP="00BC2906">
      <w:pPr>
        <w:shd w:val="clear" w:color="auto" w:fill="FFFFFF"/>
        <w:tabs>
          <w:tab w:val="left" w:pos="1373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   новым    строениям,    помещениям    и    сооружениям    налог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уплачивается с начала года, следующего за их возведением или приобретением.</w:t>
      </w:r>
    </w:p>
    <w:p w:rsidR="00847ED7" w:rsidRDefault="00847ED7" w:rsidP="00BC2906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847ED7" w:rsidRDefault="00847ED7" w:rsidP="00BC2906">
      <w:pPr>
        <w:shd w:val="clear" w:color="auto" w:fill="FFFFFF"/>
        <w:spacing w:after="0" w:line="240" w:lineRule="auto"/>
        <w:ind w:left="14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случае уничтожения, полного разрушения строения, помещения,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сооружения,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подтвержденного правовым актом органов местного самоуправления,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взимание налога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прекращается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начиная с месяца, в котором они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были уничтожены или полностью разрушены.</w:t>
      </w:r>
    </w:p>
    <w:p w:rsidR="00847ED7" w:rsidRDefault="00847ED7" w:rsidP="00BC2906">
      <w:pPr>
        <w:shd w:val="clear" w:color="auto" w:fill="FFFFFF"/>
        <w:tabs>
          <w:tab w:val="left" w:pos="1373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  переходе   права   собственности   на   строение,   помещение,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сооружение от одного собственника к другому в течение календарного года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налог уплачивается первоначальным собственником с 1 января этого года до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>начала того месяца, в котором он утратил право собственности на указанное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имущество, а новым собственником - начиная с месяца, в котором у последнего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возникло право собственности.</w:t>
      </w:r>
      <w:proofErr w:type="gramEnd"/>
    </w:p>
    <w:p w:rsidR="00847ED7" w:rsidRDefault="00847ED7" w:rsidP="00BC2906">
      <w:pPr>
        <w:shd w:val="clear" w:color="auto" w:fill="FFFFFF"/>
        <w:tabs>
          <w:tab w:val="left" w:pos="1267"/>
        </w:tabs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 возникновении права на льготу в течение календарного года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перерасчет налога производится с месяца, в котором возникло это право.</w:t>
      </w:r>
    </w:p>
    <w:p w:rsidR="00847ED7" w:rsidRDefault="00847ED7" w:rsidP="00BC2906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случае несвоевременного обращения за предоставлением льготы по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уплате налогов перерасчет суммы налогов производится не более чем за три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 по письменному заявлению налогоплательщика.</w:t>
      </w:r>
    </w:p>
    <w:p w:rsidR="00847ED7" w:rsidRDefault="00847ED7" w:rsidP="00BC2906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17. Платежные извещения об уплате налога вручаются плательщикам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налоговыми органами ежегодно в порядке и сроки, установленные Налоговым кодексам Российской федерации</w:t>
      </w:r>
    </w:p>
    <w:p w:rsidR="00847ED7" w:rsidRDefault="00847ED7" w:rsidP="00B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847ED7" w:rsidRDefault="00847ED7" w:rsidP="00BC290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19. Лица, своевременно не привлеченные к уплате налога, уплачивают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847ED7" w:rsidRDefault="00847ED7" w:rsidP="00BC2906">
      <w:pPr>
        <w:shd w:val="clear" w:color="auto" w:fill="FFFFFF"/>
        <w:tabs>
          <w:tab w:val="left" w:pos="1555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847ED7" w:rsidRDefault="00847ED7" w:rsidP="00BC2906">
      <w:pPr>
        <w:shd w:val="clear" w:color="auto" w:fill="FFFFFF"/>
        <w:tabs>
          <w:tab w:val="left" w:pos="1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21.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847ED7" w:rsidRDefault="00847ED7" w:rsidP="00BC2906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47ED7" w:rsidRDefault="00847ED7" w:rsidP="00BC2906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ПОРЯДОК ПРЕДОСТАВЛЕНИЯ ЛЬГОТ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налогуна имущество</w:t>
      </w:r>
    </w:p>
    <w:p w:rsidR="00847ED7" w:rsidRDefault="00847ED7" w:rsidP="00BC2906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47ED7" w:rsidRDefault="00745FED" w:rsidP="00745FED">
      <w:pPr>
        <w:widowControl w:val="0"/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1. </w:t>
      </w:r>
      <w:r w:rsidR="00847ED7">
        <w:rPr>
          <w:rFonts w:ascii="Times New Roman" w:hAnsi="Times New Roman" w:cs="Times New Roman"/>
          <w:bCs/>
          <w:spacing w:val="2"/>
          <w:sz w:val="24"/>
          <w:szCs w:val="24"/>
        </w:rPr>
        <w:t>Порядок предоставления льгот по налогу на имущество физических лиц регулируется федеральным законодательством.</w:t>
      </w:r>
    </w:p>
    <w:p w:rsidR="00847ED7" w:rsidRDefault="00847ED7" w:rsidP="00847ED7">
      <w:pPr>
        <w:shd w:val="clear" w:color="auto" w:fill="FFFFFF"/>
        <w:spacing w:after="0"/>
        <w:ind w:right="1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2906" w:rsidRDefault="00BC2906" w:rsidP="00847ED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ED7" w:rsidRDefault="00847ED7" w:rsidP="00847ED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</w:t>
      </w:r>
    </w:p>
    <w:p w:rsidR="00847ED7" w:rsidRDefault="00847ED7" w:rsidP="00847E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«Садовское сельское поселение»                                                </w:t>
      </w:r>
      <w:r w:rsidR="00BC2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В.Н.Бондаренко                                          </w:t>
      </w:r>
    </w:p>
    <w:p w:rsidR="00847ED7" w:rsidRDefault="00847ED7" w:rsidP="00847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D7" w:rsidRDefault="00847ED7" w:rsidP="00847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D7" w:rsidRDefault="00847ED7" w:rsidP="00847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D7" w:rsidRDefault="00847ED7" w:rsidP="00847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7ED7" w:rsidSect="00DF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5DF"/>
    <w:multiLevelType w:val="hybridMultilevel"/>
    <w:tmpl w:val="F41A3D80"/>
    <w:lvl w:ilvl="0" w:tplc="433A7F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D7"/>
    <w:rsid w:val="0000381D"/>
    <w:rsid w:val="000A103C"/>
    <w:rsid w:val="00674DBF"/>
    <w:rsid w:val="00745FED"/>
    <w:rsid w:val="00794CBD"/>
    <w:rsid w:val="00847ED7"/>
    <w:rsid w:val="00BB0FB9"/>
    <w:rsid w:val="00BC2906"/>
    <w:rsid w:val="00CE289C"/>
    <w:rsid w:val="00D44922"/>
    <w:rsid w:val="00D864D5"/>
    <w:rsid w:val="00D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78E2073B827D9C75158FAE1622C28F5ABED3048A20BEDR4h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FE9F9681305BEB8DE0F4CCBC1BF2971343394213FC681E7DF08B419yDa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FE9F9681305BEB8DE0F4CCBC1BF297136379E2934C681E7DF08B419yDa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1FE9F9681305BEB8DE0F4CCBC1BF2971343E982C3CC681E7DF08B419yDaEH" TargetMode="External"/><Relationship Id="rId10" Type="http://schemas.openxmlformats.org/officeDocument/2006/relationships/hyperlink" Target="consultantplus://offline/ref=5CDCFB252F1665AE35949650A21021C7678E2073B827D9C75158FAE1622C28F5ABED3048A20CEBR4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CFB252F1665AE35949650A21021C7678E2073B827D9C75158FAE1622C28F5ABED3048A20BEDR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2</cp:revision>
  <dcterms:created xsi:type="dcterms:W3CDTF">2017-11-24T08:42:00Z</dcterms:created>
  <dcterms:modified xsi:type="dcterms:W3CDTF">2017-11-24T08:42:00Z</dcterms:modified>
</cp:coreProperties>
</file>